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s>
        <w:spacing w:after="0" w:line="276" w:lineRule="auto"/>
        <w:ind w:left="1701" w:right="-1554" w:hanging="1701"/>
        <w:jc w:val="center"/>
        <w:rPr>
          <w:rFonts w:ascii="Bookman Old Style" w:cs="Bookman Old Style" w:eastAsia="Bookman Old Style" w:hAnsi="Bookman Old Style"/>
          <w:b w:val="1"/>
          <w:bCs w:val="1"/>
          <w:sz w:val="24"/>
          <w:szCs w:val="24"/>
        </w:rPr>
      </w:pPr>
      <w:r w:rsidDel="00000000" w:rsidR="00000000" w:rsidRPr="00000000">
        <w:rPr>
          <w:rFonts w:ascii="Bookman Old Style" w:cs="Bookman Old Style" w:eastAsia="Bookman Old Style" w:hAnsi="Bookman Old Style"/>
          <w:b w:val="1"/>
          <w:bCs w:val="1"/>
          <w:sz w:val="24"/>
          <w:szCs w:val="24"/>
          <w:rtl w:val="0"/>
        </w:rPr>
        <w:t xml:space="preserve">BAB I</w:t>
      </w:r>
    </w:p>
    <w:p w:rsidR="00000000" w:rsidDel="00000000" w:rsidP="00000000" w:rsidRDefault="00000000" w:rsidRPr="00000000" w14:paraId="00000002">
      <w:pPr>
        <w:spacing w:line="276" w:lineRule="auto"/>
        <w:ind w:right="-1554"/>
        <w:jc w:val="center"/>
        <w:rPr>
          <w:rFonts w:ascii="Bookman Old Style" w:cs="Bookman Old Style" w:eastAsia="Bookman Old Style" w:hAnsi="Bookman Old Style"/>
          <w:b w:val="1"/>
          <w:bCs w:val="1"/>
          <w:sz w:val="24"/>
          <w:szCs w:val="24"/>
        </w:rPr>
      </w:pPr>
      <w:r w:rsidDel="00000000" w:rsidR="00000000" w:rsidRPr="00000000">
        <w:rPr>
          <w:rFonts w:ascii="Bookman Old Style" w:cs="Bookman Old Style" w:eastAsia="Bookman Old Style" w:hAnsi="Bookman Old Style"/>
          <w:b w:val="1"/>
          <w:bCs w:val="1"/>
          <w:sz w:val="24"/>
          <w:szCs w:val="24"/>
          <w:rtl w:val="0"/>
        </w:rPr>
        <w:t xml:space="preserve">KERANGKA PELAPORAN KEUANGAN</w:t>
      </w:r>
    </w:p>
    <w:tbl>
      <w:tblPr>
        <w:tblStyle w:val="Table1"/>
        <w:tblW w:w="16444.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11"/>
        <w:gridCol w:w="4111"/>
        <w:gridCol w:w="4111"/>
        <w:gridCol w:w="4111"/>
        <w:tblGridChange w:id="0">
          <w:tblGrid>
            <w:gridCol w:w="4111"/>
            <w:gridCol w:w="4111"/>
            <w:gridCol w:w="4111"/>
            <w:gridCol w:w="4111"/>
          </w:tblGrid>
        </w:tblGridChange>
      </w:tblGrid>
      <w:tr>
        <w:trPr>
          <w:cantSplit w:val="0"/>
          <w:trHeight w:val="300" w:hRule="atLeast"/>
          <w:tblHeader w:val="1"/>
        </w:trPr>
        <w:tc>
          <w:tcPr>
            <w:shd w:fill="c00000" w:val="clear"/>
          </w:tcPr>
          <w:p w:rsidR="00000000" w:rsidDel="00000000" w:rsidP="00000000" w:rsidRDefault="00000000" w:rsidRPr="00000000" w14:paraId="00000003">
            <w:pPr>
              <w:spacing w:after="120" w:before="120"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PAPSI BUS UUS (2013)</w:t>
            </w:r>
          </w:p>
        </w:tc>
        <w:tc>
          <w:tcPr>
            <w:shd w:fill="c00000" w:val="clear"/>
          </w:tcPr>
          <w:p w:rsidR="00000000" w:rsidDel="00000000" w:rsidP="00000000" w:rsidRDefault="00000000" w:rsidRPr="00000000" w14:paraId="00000004">
            <w:pPr>
              <w:spacing w:after="120" w:before="120"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Rancangan PAPSI BUS UUS (2026)</w:t>
            </w:r>
          </w:p>
        </w:tc>
        <w:tc>
          <w:tcPr>
            <w:shd w:fill="c00000" w:val="clear"/>
          </w:tcPr>
          <w:p w:rsidR="00000000" w:rsidDel="00000000" w:rsidP="00000000" w:rsidRDefault="00000000" w:rsidRPr="00000000" w14:paraId="00000005">
            <w:pPr>
              <w:spacing w:after="120" w:before="120"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Tanggapan</w:t>
            </w:r>
          </w:p>
        </w:tc>
        <w:tc>
          <w:tcPr>
            <w:shd w:fill="c00000" w:val="clear"/>
          </w:tcPr>
          <w:p w:rsidR="00000000" w:rsidDel="00000000" w:rsidP="00000000" w:rsidRDefault="00000000" w:rsidRPr="00000000" w14:paraId="00000006">
            <w:pPr>
              <w:spacing w:after="0" w:before="240" w:line="276" w:lineRule="auto"/>
              <w:ind w:left="0" w:right="0" w:firstLine="0"/>
              <w:jc w:val="center"/>
              <w:rPr>
                <w:color w:val="ffffff"/>
              </w:rPr>
            </w:pPr>
            <w:r w:rsidDel="00000000" w:rsidR="00000000" w:rsidRPr="00000000">
              <w:rPr>
                <w:rFonts w:ascii="Bookman Old Style" w:cs="Bookman Old Style" w:eastAsia="Bookman Old Style" w:hAnsi="Bookman Old Style"/>
                <w:b w:val="1"/>
                <w:bCs w:val="1"/>
                <w:color w:val="ffffff"/>
                <w:rtl w:val="0"/>
              </w:rPr>
              <w:t xml:space="preserve">Usulan Perubahan</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07">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I.1 LATAR BELAKANG</w:t>
            </w:r>
          </w:p>
        </w:tc>
        <w:tc>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91" w:right="0" w:hanging="791"/>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LATAR BELAKANG</w:t>
            </w:r>
          </w:p>
        </w:tc>
        <w:tc>
          <w:tcPr/>
          <w:p w:rsidR="00000000" w:rsidDel="00000000" w:rsidP="00000000" w:rsidRDefault="00000000" w:rsidRPr="00000000" w14:paraId="00000009">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0A">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0B">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01. Tujuan Laporan Keuangan entitas perbankan syariah (untuk selanjutnya disebut “Bank”) adalah untuk menyediakan informasi yang menyangkut posisi keuangan, kinerja keuangan, dan arus kas dari aktivitas Bank yang bermanfaat dalam pengambilan putusan. Selain itu, Laporan Keuangan merupakan hasil pertanggungjawaban manajemen atas amanah sumber daya yang dipercayakan. </w:t>
            </w:r>
          </w:p>
          <w:p w:rsidR="00000000" w:rsidDel="00000000" w:rsidP="00000000" w:rsidRDefault="00000000" w:rsidRPr="00000000" w14:paraId="0000000C">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02. Suatu Laporan Keuangan bermanfaat apabila informasi yang disajikan dalam Laporan Keuangan tersebut dapat dipahami, relevan, andal, dan dapat diperbandingkan. Akan tetapi, perlu disadari pula bahwa Laporan Keuangan tidak menyediakan semua informasi yang mungkin dibutuhkan oleh pihak-pihak yang berkepentingan dengan Bank karena secara umum Laporan Keuangan hanya menggambarkan pengaruh keuangan dari kejadian masa lalu. Namun dalam beberapa hal, Bank perlu menyediakan informasi yang mempunyai pengaruh keuangan masa depan.</w:t>
            </w:r>
          </w:p>
        </w:tc>
        <w:tc>
          <w:tcPr/>
          <w:p w:rsidR="00000000" w:rsidDel="00000000" w:rsidP="00000000" w:rsidRDefault="00000000" w:rsidRPr="00000000" w14:paraId="0000000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367" w:right="0" w:hanging="3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Kebutuhan penerbitan penyempurnaan PAPSI dilatarbelakangi oleh pemberlakuan Pernyataan Standar Akuntansi Keuangan (PSAK) terutama PSAK 413 tentang Penurunan Nilai dan revisi PSAK 401 tentang Penyajian dan Pengungkapan dalam Laporan Keuangan Syariah yang berdampak signifikan dalam penyusunan laporan keuangan Bank, serta adanya perkembangan produk dan transaksi keuangan perbankan syariah. Sehubungan dengan hal tersebut dan berdasarkan hasil evaluasi serta masukan dari berbagai pihak, diperlukan suatu petunjuk lebih teknis dari PSAK dalam penyusunan laporan keuangan perbankan syariah untuk mendorong pilar keterbukaan informasi keuangan yang berkualitas.</w:t>
            </w:r>
          </w:p>
        </w:tc>
        <w:tc>
          <w:tcPr/>
          <w:p w:rsidR="00000000" w:rsidDel="00000000" w:rsidP="00000000" w:rsidRDefault="00000000" w:rsidRPr="00000000" w14:paraId="0000000E">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0F">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10">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03. Bank memiliki fungsi sebagai: </w:t>
            </w:r>
          </w:p>
          <w:p w:rsidR="00000000" w:rsidDel="00000000" w:rsidP="00000000" w:rsidRDefault="00000000" w:rsidRPr="00000000" w14:paraId="0000001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Manajer investasi.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mengelola investasi atas dana nasabah dengan menggunakan akad mudharabah dan wadiah. </w:t>
            </w:r>
          </w:p>
          <w:p w:rsidR="00000000" w:rsidDel="00000000" w:rsidP="00000000" w:rsidRDefault="00000000" w:rsidRPr="00000000" w14:paraId="000000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Agen investasi.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mengelola investasi atas dana nasabah dengan menggunakan akad wakalah. </w:t>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Investor.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menginvestasikan dana yang dimilikinya dan dana nasabah yang dipercayakan kepadanya dengan menggunakan instrumen investasi yang sesuai dengan prinsip Syariah. Keuntungan yang diperoleh dibagihasilkan sesuai nisbah yang disepakati antara Bank dan nasabah.</w:t>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Penyedia jasa keuangan.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melakukan kegiatan jasa-jasa layanan Perbankan Syariah dengan mengacu kepada Undang-Undang Nomor 21 Tahun 2008 tentang Perbankan Syariah. </w:t>
            </w:r>
          </w:p>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Pengemban fungsi sosial.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Berdasarkan Undang-Undang Nomor 21 Tahun 2008 tentang Perbankan Syariah Pasal 4 Ayat 2 dan 3, menjelaskan: </w:t>
            </w:r>
          </w:p>
          <w:p w:rsidR="00000000" w:rsidDel="00000000" w:rsidP="00000000" w:rsidRDefault="00000000" w:rsidRPr="00000000" w14:paraId="000000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1309"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menjalankan fungsi sosial dalam bentuk lembaga baitul maal, yaitu menerima dana yang berasal dari zakat, infak, sedekah, hibah, atau dana sosial lainnya dan menyalurkannya kepada organisasi pengelola zakat; dan </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1309"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menghimpun dana sosial yang berasal dari wakaf uang dan menyalurkannya kepada pengelola wakaf (nazhir) sesuai dengan kehendak pemberi wakaf (wakif). </w:t>
            </w:r>
          </w:p>
          <w:p w:rsidR="00000000" w:rsidDel="00000000" w:rsidP="00000000" w:rsidRDefault="00000000" w:rsidRPr="00000000" w14:paraId="0000001D">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04. Bank sebagai investor pada dasarnya melakukan fungsi intermediari penyaluran dana dalam bentuk pembiayaan yang meliputi, antara lain transaksi investasi untuk mendapatkan bagi hasil, transaksi atas dasar jual beli aset untuk mendapatkan keuntungan, dan atau pemberian layanan jasa untuk mendapatkan imbalan.</w:t>
            </w:r>
          </w:p>
        </w:tc>
        <w:tc>
          <w:tcPr/>
          <w:p w:rsidR="00000000" w:rsidDel="00000000" w:rsidP="00000000" w:rsidRDefault="00000000" w:rsidRPr="00000000" w14:paraId="0000001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367" w:right="0" w:hanging="3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Sebagai badan usaha yang memiliki tanggung jawab publik yang signifikan dengan karakteristik spesifik atas produk yang dimiliki dan transaksi yang dilaksanakan maka perbankan syariah memerlukan petunjuk yang sifatnya lebih teknis dengan penjelasan serta contoh jurnal transaksi. </w:t>
            </w:r>
          </w:p>
        </w:tc>
        <w:tc>
          <w:tcPr/>
          <w:p w:rsidR="00000000" w:rsidDel="00000000" w:rsidP="00000000" w:rsidRDefault="00000000" w:rsidRPr="00000000" w14:paraId="0000001F">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20">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1">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367" w:right="0" w:hanging="3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Pada tahun 2021, melalui Surat Edaran Otoritas Jasa Keuangan Nomor 34/SEOJK.03/2021 tentang Buku Panduan Akuntansi Perbankan bagi Bank Umum Konvensional (BPAK), OJK telah menerbitkan BPAK sebagai penjabaran lebih lanjut dari PSAK yang relevan bagi perbankan konvensional. Selain itu, OJK juga telah menerbitkan pedoman produk perbankan syariah, antara lain pembiayaan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murabahah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pembiayaan mudarabah, pembiayaan musyarakah,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Sharia Restricted Investment Account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(SRIA),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Cash Waqf Linked Deposit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(CWLD),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salam, istishna’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dan multijasa. Penerbitan ketentuan dan pedoman tersebut menyebabkan PAPSI perlu diselaraskan agar memiliki kesebandingan dengan BPAK untuk transaksi yang bersifat umum bagi perbankan konvesional dan syariah, serta menghindari adanya tumpang tindih pengaturan untuk transaksi yang bersifat spesifik bagi perbankan syariah sehingga dapat memberikan ruang pengembangan produk perbankan syariah ke depannya. </w:t>
            </w:r>
          </w:p>
        </w:tc>
        <w:tc>
          <w:tcPr/>
          <w:p w:rsidR="00000000" w:rsidDel="00000000" w:rsidP="00000000" w:rsidRDefault="00000000" w:rsidRPr="00000000" w14:paraId="00000023">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24">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5">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26">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27">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28">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9">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I.3 TUJUAN DAN RUANG LlNGKUP</w:t>
            </w:r>
          </w:p>
        </w:tc>
        <w:tc>
          <w:tcPr/>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91" w:right="0" w:hanging="791"/>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TUJUAN DAN RUANG LINGKUP</w:t>
            </w:r>
          </w:p>
        </w:tc>
        <w:tc>
          <w:tcPr/>
          <w:p w:rsidR="00000000" w:rsidDel="00000000" w:rsidP="00000000" w:rsidRDefault="00000000" w:rsidRPr="00000000" w14:paraId="0000002B">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2C">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D">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A. Tujuan</w:t>
            </w:r>
          </w:p>
        </w:tc>
        <w:tc>
          <w:tcPr/>
          <w:p w:rsidR="00000000" w:rsidDel="00000000" w:rsidP="00000000" w:rsidRDefault="00000000" w:rsidRPr="00000000" w14:paraId="0000002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76" w:lineRule="auto"/>
              <w:ind w:left="371"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Tujuan PAPSI</w:t>
            </w:r>
            <w:r w:rsidDel="00000000" w:rsidR="00000000" w:rsidRPr="00000000">
              <w:rPr>
                <w:rtl w:val="0"/>
              </w:rPr>
            </w:r>
          </w:p>
        </w:tc>
        <w:tc>
          <w:tcPr/>
          <w:p w:rsidR="00000000" w:rsidDel="00000000" w:rsidP="00000000" w:rsidRDefault="00000000" w:rsidRPr="00000000" w14:paraId="0000002F">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30">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1">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01. Tujuan dari penyusunan Pedoman Akuntansi Perbankan Syariah Indonesia (untuk selanjutnya disebut “Pedoman”) antara lain: </w:t>
            </w:r>
          </w:p>
          <w:p w:rsidR="00000000" w:rsidDel="00000000" w:rsidP="00000000" w:rsidRDefault="00000000" w:rsidRPr="00000000" w14:paraId="0000003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Membantu Bank menyusun Laporan Keuangan supaya sesuai dengan tujuan Laporan Keuangan. </w:t>
            </w:r>
          </w:p>
          <w:p w:rsidR="00000000" w:rsidDel="00000000" w:rsidP="00000000" w:rsidRDefault="00000000" w:rsidRPr="00000000" w14:paraId="000000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Menciptakan keseragaman penerapan perlakuan akuntansi dan penyajian Laporan Keuangan sehingga meningkatkan daya banding antara Laporan Keuangan Bank. </w:t>
            </w:r>
          </w:p>
          <w:p w:rsidR="00000000" w:rsidDel="00000000" w:rsidP="00000000" w:rsidRDefault="00000000" w:rsidRPr="00000000" w14:paraId="000000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Menjadi acuan minimum yang harus dipenuhi oleh Bank dalam menyusun Laporan Keuangan. Namun, keseragaman penyajian sebagaimana diatur dalam Pedoman ini tidak menghalangi masing-masing Bank untuk memberikan informasi yang relevan bagi pengguna laporan sesuai kondisi masing-masing Bank.</w:t>
            </w:r>
          </w:p>
        </w:tc>
        <w:tc>
          <w:tcPr/>
          <w:p w:rsidR="00000000" w:rsidDel="00000000" w:rsidP="00000000" w:rsidRDefault="00000000" w:rsidRPr="00000000" w14:paraId="0000003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Penyusunan PAPSI diharapkan dapat menciptakan keseragaman dalam penerapan perlakuan akuntansi dan acuan minimum yang harus dipenuhi oleh perbankan syariah dalam penyusunan dan penyajian laporan keuangan sesuai PSAK sehingga meningkatkan daya banding antar-laporan keuangan bank. Namun keseragaman penyajian dimaksud tidak menghalangi masing-masing bank untuk memberikan informasi yang relevan bagi pengguna laporan keuangan sesuai kondisi masing-masing bank.</w:t>
            </w:r>
          </w:p>
        </w:tc>
        <w:tc>
          <w:tcPr/>
          <w:p w:rsidR="00000000" w:rsidDel="00000000" w:rsidP="00000000" w:rsidRDefault="00000000" w:rsidRPr="00000000" w14:paraId="00000036">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37">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8">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Kehadiran PAPSI juga diharapkan dapat membantu pelaksana perbankan syariah mencatat transaksi perbankan syariah sesuai PSAK dan ketentuan perbankan syariah terkini sehingga dapat menghasilkan informasi keuangan yang andal dan relevan.</w:t>
            </w:r>
          </w:p>
        </w:tc>
        <w:tc>
          <w:tcPr/>
          <w:p w:rsidR="00000000" w:rsidDel="00000000" w:rsidP="00000000" w:rsidRDefault="00000000" w:rsidRPr="00000000" w14:paraId="0000003A">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3B">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C">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Jika dilihat dari pihak yang berkepentingan, secara spesifik penyusunan PAPSI ini dimaksudkan untuk:</w:t>
            </w:r>
          </w:p>
        </w:tc>
        <w:tc>
          <w:tcPr/>
          <w:p w:rsidR="00000000" w:rsidDel="00000000" w:rsidP="00000000" w:rsidRDefault="00000000" w:rsidRPr="00000000" w14:paraId="0000003E">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3F">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40">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rPr>
            </w:pPr>
            <w:r w:rsidDel="00000000" w:rsidR="00000000" w:rsidRPr="00000000">
              <w:rPr>
                <w:rtl w:val="0"/>
              </w:rPr>
            </w:r>
          </w:p>
          <w:tbl>
            <w:tblPr>
              <w:tblStyle w:val="Table2"/>
              <w:tblW w:w="5244.000000000001" w:type="dxa"/>
              <w:jc w:val="left"/>
              <w:tblInd w:w="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8"/>
              <w:gridCol w:w="3686"/>
              <w:tblGridChange w:id="0">
                <w:tblGrid>
                  <w:gridCol w:w="1558"/>
                  <w:gridCol w:w="3686"/>
                </w:tblGrid>
              </w:tblGridChange>
            </w:tblGrid>
            <w:tr>
              <w:trPr>
                <w:cantSplit w:val="0"/>
                <w:tblHeader w:val="0"/>
              </w:trPr>
              <w:tc>
                <w:tcPr>
                  <w:shd w:fill="d1d1d1"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center"/>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PIHAK</w:t>
                  </w:r>
                </w:p>
              </w:tc>
              <w:tc>
                <w:tcPr>
                  <w:shd w:fill="d1d1d1"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center"/>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TUJUAN</w:t>
                  </w:r>
                </w:p>
              </w:tc>
            </w:tr>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Investor</w:t>
                  </w:r>
                </w:p>
              </w:tc>
              <w:tc>
                <w:tcPr/>
                <w:p w:rsidR="00000000" w:rsidDel="00000000" w:rsidP="00000000" w:rsidRDefault="00000000" w:rsidRPr="00000000" w14:paraId="00000045">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Kebutuhan memahami cara pengakuan dan penghitungan</w:t>
                  </w:r>
                </w:p>
                <w:p w:rsidR="00000000" w:rsidDel="00000000" w:rsidP="00000000" w:rsidRDefault="00000000" w:rsidRPr="00000000" w14:paraId="00000046">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aset bank, agar dapat membuat analisis kinerja perbankan</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yang lebih baik.</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Kreditur</w:t>
                  </w:r>
                </w:p>
              </w:tc>
              <w:tc>
                <w:tcPr/>
                <w:p w:rsidR="00000000" w:rsidDel="00000000" w:rsidP="00000000" w:rsidRDefault="00000000" w:rsidRPr="00000000" w14:paraId="00000049">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Kebutuhan pertimbangan dalam pengambilan keputusan untuk memberikan kredit kepada perbankan.</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Pemegang saham</w:t>
                  </w:r>
                </w:p>
              </w:tc>
              <w:tc>
                <w:tcPr/>
                <w:p w:rsidR="00000000" w:rsidDel="00000000" w:rsidP="00000000" w:rsidRDefault="00000000" w:rsidRPr="00000000" w14:paraId="0000004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Alat untuk memantau jalannya bank dan menilai hasil yang telah dicapai oleh manajemen.</w:t>
                  </w:r>
                </w:p>
                <w:p w:rsidR="00000000" w:rsidDel="00000000" w:rsidP="00000000" w:rsidRDefault="00000000" w:rsidRPr="00000000" w14:paraId="0000004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Dasar penentuan taksiran keuntungan yang akan diterima pada masa mendatang.</w:t>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Pemerintah</w:t>
                  </w:r>
                </w:p>
              </w:tc>
              <w:tc>
                <w:tcPr/>
                <w:p w:rsidR="00000000" w:rsidDel="00000000" w:rsidP="00000000" w:rsidRDefault="00000000" w:rsidRPr="00000000" w14:paraId="0000004E">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Sebagai bagian dari informasi guna pembuatan keputusan ekonomi, sosial, dan politik tingkat nasional.</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Otoritas</w:t>
                  </w:r>
                </w:p>
              </w:tc>
              <w:tc>
                <w:tcPr/>
                <w:p w:rsidR="00000000" w:rsidDel="00000000" w:rsidP="00000000" w:rsidRDefault="00000000" w:rsidRPr="00000000" w14:paraId="0000005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Pemantauan kepatuhan atas aturan yang diterapkan kepada bank dan manajemennya.</w:t>
                  </w:r>
                </w:p>
                <w:p w:rsidR="00000000" w:rsidDel="00000000" w:rsidP="00000000" w:rsidRDefault="00000000" w:rsidRPr="00000000" w14:paraId="0000005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Memonitor kinerja dan mengevaluasi manajemen, dasar untuk mengamati tren antar-kurun waktu, pencapaian atas tujuan yang ditetapkan, dan membandingkannya dengan kinerja organisasi lain yang sejenis.</w:t>
                  </w:r>
                </w:p>
                <w:p w:rsidR="00000000" w:rsidDel="00000000" w:rsidP="00000000" w:rsidRDefault="00000000" w:rsidRPr="00000000" w14:paraId="0000005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Dasar dalam perencanaan kebijakan dan aktivitas di masa datang dan pemberian informasi pendukung mengenai otorisasi penggunaan dana.</w:t>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SDM perbankan</w:t>
                  </w:r>
                </w:p>
              </w:tc>
              <w:tc>
                <w:tcPr/>
                <w:p w:rsidR="00000000" w:rsidDel="00000000" w:rsidP="00000000" w:rsidRDefault="00000000" w:rsidRPr="00000000" w14:paraId="0000005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Pemahaman penerapan PSAK yang setara dan berkualitas.</w:t>
                  </w:r>
                </w:p>
                <w:p w:rsidR="00000000" w:rsidDel="00000000" w:rsidP="00000000" w:rsidRDefault="00000000" w:rsidRPr="00000000" w14:paraId="0000005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Sumber untuk transfer pengetahuan SDM perbankan yang berkelanjutan.</w:t>
                  </w:r>
                </w:p>
              </w:tc>
            </w:tr>
            <w:tr>
              <w:trPr>
                <w:cantSplit w:val="0"/>
                <w:tblHeader w:val="0"/>
              </w:trPr>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Pengawas bank</w:t>
                  </w:r>
                </w:p>
              </w:tc>
              <w:tc>
                <w:tcPr/>
                <w:p w:rsidR="00000000" w:rsidDel="00000000" w:rsidP="00000000" w:rsidRDefault="00000000" w:rsidRPr="00000000" w14:paraId="0000005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Pemahaman penerapan PSAK yang setara dan berkualitas.</w:t>
                  </w:r>
                </w:p>
                <w:p w:rsidR="00000000" w:rsidDel="00000000" w:rsidP="00000000" w:rsidRDefault="00000000" w:rsidRPr="00000000" w14:paraId="0000005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Sumber untuk transfer pengetahuan pengawas bank.</w:t>
                  </w:r>
                </w:p>
                <w:p w:rsidR="00000000" w:rsidDel="00000000" w:rsidP="00000000" w:rsidRDefault="00000000" w:rsidRPr="00000000" w14:paraId="0000005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6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Panduan pemeriksaan terhadap praktik pencatatan di perbankan syariah.</w:t>
                  </w:r>
                </w:p>
              </w:tc>
            </w:tr>
          </w:tbl>
          <w:p w:rsidR="00000000" w:rsidDel="00000000" w:rsidP="00000000" w:rsidRDefault="00000000" w:rsidRPr="00000000" w14:paraId="0000005A">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5B">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5C">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D">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5E">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5F">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60">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1">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B. Ruang Lingkup</w:t>
            </w:r>
          </w:p>
        </w:tc>
        <w:tc>
          <w:tcPr/>
          <w:p w:rsidR="00000000" w:rsidDel="00000000" w:rsidP="00000000" w:rsidRDefault="00000000" w:rsidRPr="00000000" w14:paraId="0000006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76" w:lineRule="auto"/>
              <w:ind w:left="371"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Ruang Lingkup PAPSI</w:t>
            </w:r>
            <w:r w:rsidDel="00000000" w:rsidR="00000000" w:rsidRPr="00000000">
              <w:rPr>
                <w:rtl w:val="0"/>
              </w:rPr>
            </w:r>
          </w:p>
        </w:tc>
        <w:tc>
          <w:tcPr/>
          <w:p w:rsidR="00000000" w:rsidDel="00000000" w:rsidP="00000000" w:rsidRDefault="00000000" w:rsidRPr="00000000" w14:paraId="00000063">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64">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5">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01. Pedoman ini berlaku untuk Bank yang menjalankan fungsi sebagai: </w:t>
            </w:r>
          </w:p>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Umum Syariah; dan </w:t>
            </w:r>
          </w:p>
          <w:p w:rsidR="00000000" w:rsidDel="00000000" w:rsidP="00000000" w:rsidRDefault="00000000" w:rsidRPr="00000000" w14:paraId="000000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umum konvensional yang melakukan kegiatan usaha berdasarkan prinsip Syariah (Unit Usaha Syariah).</w:t>
            </w:r>
          </w:p>
        </w:tc>
        <w:tc>
          <w:tcPr/>
          <w:p w:rsidR="00000000" w:rsidDel="00000000" w:rsidP="00000000" w:rsidRDefault="00000000" w:rsidRPr="00000000" w14:paraId="00000068">
            <w:pPr>
              <w:tabs>
                <w:tab w:val="left" w:leader="none" w:pos="1701"/>
              </w:tabs>
              <w:spacing w:line="276" w:lineRule="auto"/>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PAPSI berlaku untuk BUS dan UUS.</w:t>
            </w:r>
          </w:p>
        </w:tc>
        <w:tc>
          <w:tcPr/>
          <w:p w:rsidR="00000000" w:rsidDel="00000000" w:rsidP="00000000" w:rsidRDefault="00000000" w:rsidRPr="00000000" w14:paraId="00000069">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6A">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B">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6C">
            <w:pPr>
              <w:tabs>
                <w:tab w:val="left" w:leader="none" w:pos="567"/>
                <w:tab w:val="left" w:leader="none" w:pos="1701"/>
              </w:tabs>
              <w:spacing w:line="276" w:lineRule="auto"/>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Perlakuan akuntansi atas transaksi syariah yang tidak diatur dalam PAPSI BUS UUS dan telah dicakup dalam pedoman produk perbankan syariah, perlakuan akuntansi mengikuti perlakuan akuntansi yang terdapat dalam pedoman produk perbankan syariah tersebut.</w:t>
            </w:r>
          </w:p>
        </w:tc>
        <w:tc>
          <w:tcPr/>
          <w:p w:rsidR="00000000" w:rsidDel="00000000" w:rsidP="00000000" w:rsidRDefault="00000000" w:rsidRPr="00000000" w14:paraId="0000006D">
            <w:pPr>
              <w:tabs>
                <w:tab w:val="left" w:leader="none" w:pos="851"/>
                <w:tab w:val="left" w:leader="none" w:pos="1701"/>
              </w:tabs>
              <w:spacing w:line="276" w:lineRule="auto"/>
              <w:ind w:left="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6E">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F">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70">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71">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72">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3">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I.4 ACUAN PENYUSUNAN</w:t>
            </w:r>
          </w:p>
        </w:tc>
        <w:tc>
          <w:tcPr/>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91" w:right="0" w:hanging="791"/>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ACUAN PENYUSUNAN</w:t>
            </w:r>
          </w:p>
        </w:tc>
        <w:tc>
          <w:tcPr/>
          <w:p w:rsidR="00000000" w:rsidDel="00000000" w:rsidP="00000000" w:rsidRDefault="00000000" w:rsidRPr="00000000" w14:paraId="00000075">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76">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7">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01. Acuan yang digunakan dalam menyusun Pedoman ini didasarkan pada referensi yang relevan. Adapun referensi yang digunakan adalah:</w:t>
            </w:r>
          </w:p>
        </w:tc>
        <w:tc>
          <w:tcPr/>
          <w:p w:rsidR="00000000" w:rsidDel="00000000" w:rsidP="00000000" w:rsidRDefault="00000000" w:rsidRPr="00000000" w14:paraId="0000007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Acuan yang digunakan dalam menyusun PAPSI didasarkan pada referensi yang relevan. Adapun referensi yang digunakan adalah:</w:t>
            </w:r>
          </w:p>
        </w:tc>
        <w:tc>
          <w:tcPr/>
          <w:p w:rsidR="00000000" w:rsidDel="00000000" w:rsidP="00000000" w:rsidRDefault="00000000" w:rsidRPr="00000000" w14:paraId="00000079">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7A">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B">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Kerangka Dasar Penyusunan dan Penyajian Laporan Keuangan Syariah dan Pernyataan Standar Akuntansi Keuangan Syariah;</w:t>
            </w:r>
          </w:p>
        </w:tc>
        <w:tc>
          <w:tcPr>
            <w:vMerge w:val="restart"/>
          </w:tcPr>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60" w:before="0" w:line="276" w:lineRule="auto"/>
              <w:ind w:left="797" w:right="0" w:hanging="426"/>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SAK Indonesia;</w:t>
            </w:r>
          </w:p>
        </w:tc>
        <w:tc>
          <w:tcPr>
            <w:vMerge w:val="restart"/>
          </w:tcPr>
          <w:p w:rsidR="00000000" w:rsidDel="00000000" w:rsidP="00000000" w:rsidRDefault="00000000" w:rsidRPr="00000000" w14:paraId="0000007D">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vMerge w:val="restart"/>
          </w:tcPr>
          <w:p w:rsidR="00000000" w:rsidDel="00000000" w:rsidP="00000000" w:rsidRDefault="00000000" w:rsidRPr="00000000" w14:paraId="0000007E">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F">
            <w:pPr>
              <w:tabs>
                <w:tab w:val="left" w:leader="none" w:pos="4183"/>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Pernyataan Standar Akuntansi Keuangan dan Interpretasi Pernyataan Standar Akuntansi Keuangan sepanjang tidak bertentangan dengan prinsip Syariah;</w:t>
            </w:r>
          </w:p>
        </w:tc>
        <w:tc>
          <w:tcPr>
            <w:vMerge w:val="continue"/>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rPr>
            </w:pPr>
            <w:r w:rsidDel="00000000" w:rsidR="00000000" w:rsidRPr="00000000">
              <w:rPr>
                <w:rtl w:val="0"/>
              </w:rPr>
            </w:r>
          </w:p>
        </w:tc>
        <w:tc>
          <w:tcPr>
            <w:vMerge w:val="continue"/>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rPr>
            </w:pPr>
            <w:r w:rsidDel="00000000" w:rsidR="00000000" w:rsidRPr="00000000">
              <w:rPr>
                <w:rtl w:val="0"/>
              </w:rPr>
            </w:r>
          </w:p>
        </w:tc>
        <w:tc>
          <w:tcPr>
            <w:vMerge w:val="continue"/>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83">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Ketentuan yang dikeluarkan oleh Bank Indonesia;</w:t>
            </w:r>
          </w:p>
        </w:tc>
        <w:tc>
          <w:tcPr/>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90"/>
              </w:tabs>
              <w:spacing w:after="160" w:before="0" w:line="276" w:lineRule="auto"/>
              <w:ind w:left="797" w:right="0" w:hanging="426"/>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Ketentuan yang diterbitkan oleh OJK;</w:t>
            </w:r>
          </w:p>
        </w:tc>
        <w:tc>
          <w:tcPr/>
          <w:p w:rsidR="00000000" w:rsidDel="00000000" w:rsidP="00000000" w:rsidRDefault="00000000" w:rsidRPr="00000000" w14:paraId="00000085">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86">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87">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Fatwa yang dikeluarkan oleh Dewan Syariah Nasional - Majelis Ulama Indonesia;</w:t>
            </w:r>
          </w:p>
        </w:tc>
        <w:tc>
          <w:tcPr/>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90"/>
              </w:tabs>
              <w:spacing w:after="160" w:before="0" w:line="276" w:lineRule="auto"/>
              <w:ind w:left="797" w:right="0" w:hanging="426"/>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Fatwa yang diterbitkan oleh Dewan Syariah Nasional - Majelis Ulama Indonesia (DSN-MUI);</w:t>
            </w:r>
          </w:p>
        </w:tc>
        <w:tc>
          <w:tcPr/>
          <w:p w:rsidR="00000000" w:rsidDel="00000000" w:rsidP="00000000" w:rsidRDefault="00000000" w:rsidRPr="00000000" w14:paraId="00000089">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8A">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8B">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 </w:t>
            </w:r>
            <w:r w:rsidDel="00000000" w:rsidR="00000000" w:rsidRPr="00000000">
              <w:rPr>
                <w:rFonts w:ascii="Bookman Old Style" w:cs="Bookman Old Style" w:eastAsia="Bookman Old Style" w:hAnsi="Bookman Old Style"/>
                <w:i w:val="1"/>
                <w:iCs w:val="1"/>
                <w:rtl w:val="0"/>
              </w:rPr>
              <w:t xml:space="preserve">International Financial Reporting Standards </w:t>
            </w:r>
            <w:r w:rsidDel="00000000" w:rsidR="00000000" w:rsidRPr="00000000">
              <w:rPr>
                <w:rFonts w:ascii="Bookman Old Style" w:cs="Bookman Old Style" w:eastAsia="Bookman Old Style" w:hAnsi="Bookman Old Style"/>
                <w:rtl w:val="0"/>
              </w:rPr>
              <w:t xml:space="preserve">(</w:t>
            </w:r>
            <w:r w:rsidDel="00000000" w:rsidR="00000000" w:rsidRPr="00000000">
              <w:rPr>
                <w:rFonts w:ascii="Bookman Old Style" w:cs="Bookman Old Style" w:eastAsia="Bookman Old Style" w:hAnsi="Bookman Old Style"/>
                <w:i w:val="1"/>
                <w:iCs w:val="1"/>
                <w:rtl w:val="0"/>
              </w:rPr>
              <w:t xml:space="preserve">International Accounting Standards Board</w:t>
            </w:r>
            <w:r w:rsidDel="00000000" w:rsidR="00000000" w:rsidRPr="00000000">
              <w:rPr>
                <w:rFonts w:ascii="Bookman Old Style" w:cs="Bookman Old Style" w:eastAsia="Bookman Old Style" w:hAnsi="Bookman Old Style"/>
                <w:rtl w:val="0"/>
              </w:rPr>
              <w:t xml:space="preserve">/IASB) sepanjang tidak bertentangan dengan prinsip Syariah;</w:t>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0"/>
              </w:tabs>
              <w:spacing w:after="160" w:before="0" w:line="276" w:lineRule="auto"/>
              <w:ind w:left="797"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D">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8E">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8F">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 </w:t>
            </w:r>
            <w:r w:rsidDel="00000000" w:rsidR="00000000" w:rsidRPr="00000000">
              <w:rPr>
                <w:rFonts w:ascii="Bookman Old Style" w:cs="Bookman Old Style" w:eastAsia="Bookman Old Style" w:hAnsi="Bookman Old Style"/>
                <w:i w:val="1"/>
                <w:iCs w:val="1"/>
                <w:rtl w:val="0"/>
              </w:rPr>
              <w:t xml:space="preserve">Financial Accounting Standard (Accounting and Auditing Organization for Islamic Financial Institutions</w:t>
            </w:r>
            <w:r w:rsidDel="00000000" w:rsidR="00000000" w:rsidRPr="00000000">
              <w:rPr>
                <w:rFonts w:ascii="Bookman Old Style" w:cs="Bookman Old Style" w:eastAsia="Bookman Old Style" w:hAnsi="Bookman Old Style"/>
                <w:rtl w:val="0"/>
              </w:rPr>
              <w:t xml:space="preserve">/AAOIFI);</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7"/>
              </w:tabs>
              <w:spacing w:after="160" w:before="0" w:line="276" w:lineRule="auto"/>
              <w:ind w:left="797"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1">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2">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3">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 Peraturan perundang-undangan yang relevan dengan Laporan Keuangan; dan</w:t>
            </w:r>
          </w:p>
        </w:tc>
        <w:tc>
          <w:tcPr/>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797" w:right="0" w:hanging="426"/>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Peraturan perundang-undangan yang relevan dengan pelaporan keuangan; dan</w:t>
            </w:r>
          </w:p>
        </w:tc>
        <w:tc>
          <w:tcPr/>
          <w:p w:rsidR="00000000" w:rsidDel="00000000" w:rsidP="00000000" w:rsidRDefault="00000000" w:rsidRPr="00000000" w14:paraId="00000095">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6">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7">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 Praktik-praktik akuntansi yang berlaku umum, sepanjang tidak bertentangan dengan prinsip Syariah.</w:t>
            </w:r>
          </w:p>
        </w:tc>
        <w:tc>
          <w:tcPr/>
          <w:p w:rsidR="00000000" w:rsidDel="00000000" w:rsidP="00000000" w:rsidRDefault="00000000" w:rsidRPr="00000000" w14:paraId="000000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797" w:right="0" w:hanging="426"/>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Praktik akuntansi yang berlaku umum, sepanjang tidak bertentangan dengan prinsip syariah.</w:t>
            </w:r>
          </w:p>
        </w:tc>
        <w:tc>
          <w:tcPr/>
          <w:p w:rsidR="00000000" w:rsidDel="00000000" w:rsidP="00000000" w:rsidRDefault="00000000" w:rsidRPr="00000000" w14:paraId="00000099">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A">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B">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02. Berdasarkan referensi di atas diadopsi ketentuan yang relevan dan sesuai dengan kondisi lingkungan usaha berdasarkan prinsip Syariah di Indonesia yang kemudian dikodifikasi dalam Pedoman ini. Selanjutnya sebagai dasar pengaturan penyusunan Laporan Keuangan Bank digunakan ketentuan-ketentuan yang diatur dalam Pedoman ini.</w:t>
            </w:r>
          </w:p>
        </w:tc>
        <w:tc>
          <w:tcPr/>
          <w:p w:rsidR="00000000" w:rsidDel="00000000" w:rsidP="00000000" w:rsidRDefault="00000000" w:rsidRPr="00000000" w14:paraId="0000009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Berdasarkan referensi di atas, ketentuan yang relevan diadopsi dan disesuaikan dengan kondisi lingkungan usaha berdasarkan prinsip syariah di Indonesia yang kemudian dikodifikasi dalam PAPSI.</w:t>
            </w:r>
          </w:p>
        </w:tc>
        <w:tc>
          <w:tcPr/>
          <w:p w:rsidR="00000000" w:rsidDel="00000000" w:rsidP="00000000" w:rsidRDefault="00000000" w:rsidRPr="00000000" w14:paraId="0000009D">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E">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F">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A0">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A1">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A2">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A3">
            <w:pPr>
              <w:tabs>
                <w:tab w:val="left" w:leader="none" w:pos="1783"/>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ab/>
            </w:r>
          </w:p>
        </w:tc>
        <w:tc>
          <w:tcPr/>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91" w:right="0" w:hanging="791"/>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KEDUDUKAN</w:t>
            </w:r>
          </w:p>
        </w:tc>
        <w:tc>
          <w:tcPr/>
          <w:p w:rsidR="00000000" w:rsidDel="00000000" w:rsidP="00000000" w:rsidRDefault="00000000" w:rsidRPr="00000000" w14:paraId="000000A5">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A6">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A7">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A8">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Laporan keuangan Bank disusun sesuai PSAK yang berbasis prinsip (</w:t>
            </w:r>
            <w:r w:rsidDel="00000000" w:rsidR="00000000" w:rsidRPr="00000000">
              <w:rPr>
                <w:rFonts w:ascii="Bookman Old Style" w:cs="Bookman Old Style" w:eastAsia="Bookman Old Style" w:hAnsi="Bookman Old Style"/>
                <w:i w:val="1"/>
                <w:iCs w:val="1"/>
                <w:rtl w:val="0"/>
              </w:rPr>
              <w:t xml:space="preserve">principle based</w:t>
            </w:r>
            <w:r w:rsidDel="00000000" w:rsidR="00000000" w:rsidRPr="00000000">
              <w:rPr>
                <w:rFonts w:ascii="Bookman Old Style" w:cs="Bookman Old Style" w:eastAsia="Bookman Old Style" w:hAnsi="Bookman Old Style"/>
                <w:rtl w:val="0"/>
              </w:rPr>
              <w:t xml:space="preserve">). PAPSI merupakan petunjuk teknis bagi perbankan syariah dalam menyusun laporan keuangan sesuai PSAK yang efektif saat penyusunan PAPSI. PAPSI bukan merupakan pengganti PSAK sebagai dasar penyusunan laporan keuangan perbankan syariah. Ketika terjadi perubahan PSAK di kemudian hari maka penyusunan laporan keuangan perbankan syariah harus mengacu pada PSAK yang berlaku. Jika terdapat pengaturan dalam PAPSI yang bertentangan dengan PSAK yang berlaku, maka laporan keuangan perbankan syariah mengacu pada PSAK yang berlaku.</w:t>
            </w:r>
          </w:p>
        </w:tc>
        <w:tc>
          <w:tcPr/>
          <w:p w:rsidR="00000000" w:rsidDel="00000000" w:rsidP="00000000" w:rsidRDefault="00000000" w:rsidRPr="00000000" w14:paraId="000000A9">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AA">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AB">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AC">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AD">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AE">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AF">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I.5 KETENTUAN LAIN</w:t>
            </w:r>
          </w:p>
        </w:tc>
        <w:tc>
          <w:tcPr/>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91" w:right="0" w:hanging="791"/>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KETENTUAN LAIN</w:t>
            </w:r>
          </w:p>
        </w:tc>
        <w:tc>
          <w:tcPr/>
          <w:p w:rsidR="00000000" w:rsidDel="00000000" w:rsidP="00000000" w:rsidRDefault="00000000" w:rsidRPr="00000000" w14:paraId="000000B1">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2">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B3">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01. Ilustrasi jurnal yang digunakan dalam Pedoman ini hanya merupakan ilustrasi dan tidak bersifat mengikat. Bank dapat mengembangkan metode pencatatan dan pengakuan sesuai sistem masing-masing sepanjang memberikan hasil yang tidak berbeda. Ilustrasi jurnal yang dicantumkan dalam Pedoman ini menggambarkan pencatatan akuntansi secara manual.</w:t>
            </w:r>
          </w:p>
        </w:tc>
        <w:tc>
          <w:tcPr/>
          <w:p w:rsidR="00000000" w:rsidDel="00000000" w:rsidP="00000000" w:rsidRDefault="00000000" w:rsidRPr="00000000" w14:paraId="000000B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Ilustrasi jurnal yang digunakan dalam PAPSI hanya merupakan ilustrasi dan tidak bersifat mengikat. Bank dapat mengembangkan metode pencatatan dan pengakuan sesuai sistem masing-masing sepanjang memberikan hasil yang tidak berbeda. Ilustrasi jurnal yang dicantumkan dalam PAPSI menggambarkan pencatatan akuntansi secara manual.</w:t>
            </w:r>
          </w:p>
        </w:tc>
        <w:tc>
          <w:tcPr/>
          <w:p w:rsidR="00000000" w:rsidDel="00000000" w:rsidP="00000000" w:rsidRDefault="00000000" w:rsidRPr="00000000" w14:paraId="000000B5">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6">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B7">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02. Transaksi yang dicantumkan pada Pedoman ini diprioritaskan pada transaksi yang umum terjadi pada setiap Bank.</w:t>
            </w:r>
          </w:p>
        </w:tc>
        <w:tc>
          <w:tcPr/>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yang dicantumkan pada PAPSI diprioritaskan pada transaksi yang umum terjadi pada setiap Bank, disesuaikan dengan penerapan prinsip syariah pada perbankan syariah. Transaksi yang spesifik hanya dilakukan oleh perbankan syariah diatur dalam ketentuan lain, seperti dalam pedoman produk perbankan syariah.</w:t>
            </w:r>
          </w:p>
        </w:tc>
        <w:tc>
          <w:tcPr/>
          <w:p w:rsidR="00000000" w:rsidDel="00000000" w:rsidP="00000000" w:rsidRDefault="00000000" w:rsidRPr="00000000" w14:paraId="000000B9">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A">
            <w:pPr>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BB">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03. Pedoman ini secara periodik akan dievaluasi dan disesuaikan dengan perkembangan bisnis dan produk perbankan syariah, ketentuan SAK, ketentuan Bank Syariah Indonesia, dan ketentuan lainnya yang terkait dengan industri perbankan syariah.</w:t>
            </w:r>
          </w:p>
        </w:tc>
        <w:tc>
          <w:tcPr/>
          <w:p w:rsidR="00000000" w:rsidDel="00000000" w:rsidP="00000000" w:rsidRDefault="00000000" w:rsidRPr="00000000" w14:paraId="000000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371" w:right="0" w:hanging="371"/>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Pedoman ini secara periodik akan dievaluasi dan disesuaikan dengan perkembangan bisnis dan produk perbankan syariah, ketentuan PSAK, fatwa DSN-MUI, dan ketentuan lainnya yang terkait dengan industri perbankan syariah.</w:t>
            </w:r>
          </w:p>
        </w:tc>
        <w:tc>
          <w:tcPr/>
          <w:p w:rsidR="00000000" w:rsidDel="00000000" w:rsidP="00000000" w:rsidRDefault="00000000" w:rsidRPr="00000000" w14:paraId="000000BD">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E">
            <w:pPr>
              <w:spacing w:line="276" w:lineRule="auto"/>
              <w:jc w:val="both"/>
              <w:rPr>
                <w:rFonts w:ascii="Bookman Old Style" w:cs="Bookman Old Style" w:eastAsia="Bookman Old Style" w:hAnsi="Bookman Old Style"/>
                <w:b w:val="1"/>
                <w:bCs w:val="1"/>
              </w:rPr>
            </w:pPr>
            <w:r w:rsidDel="00000000" w:rsidR="00000000" w:rsidRPr="00000000">
              <w:rPr>
                <w:rtl w:val="0"/>
              </w:rPr>
            </w:r>
          </w:p>
        </w:tc>
      </w:tr>
    </w:tbl>
    <w:p w:rsidR="00000000" w:rsidDel="00000000" w:rsidP="00000000" w:rsidRDefault="00000000" w:rsidRPr="00000000" w14:paraId="000000BF">
      <w:pPr>
        <w:spacing w:line="276" w:lineRule="auto"/>
        <w:rPr>
          <w:rFonts w:ascii="Bookman Old Style" w:cs="Bookman Old Style" w:eastAsia="Bookman Old Style" w:hAnsi="Bookman Old Style"/>
        </w:rPr>
      </w:pPr>
      <w:r w:rsidDel="00000000" w:rsidR="00000000" w:rsidRPr="00000000">
        <w:rPr>
          <w:rtl w:val="0"/>
        </w:rPr>
      </w:r>
    </w:p>
    <w:sectPr>
      <w:pgSz w:h="11901" w:w="18700" w:orient="landscape"/>
      <w:pgMar w:bottom="1418" w:top="1418" w:left="1418" w:right="2676"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Bookman Old Style"/>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1."/>
      <w:lvlJc w:val="left"/>
      <w:pPr>
        <w:ind w:left="360" w:hanging="360"/>
      </w:pPr>
      <w:rPr>
        <w:i w:val="0"/>
        <w:iCs w:val="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lowerLetter"/>
      <w:lvlText w:val="%1."/>
      <w:lvlJc w:val="left"/>
      <w:pPr>
        <w:ind w:left="480" w:hanging="360"/>
      </w:pPr>
      <w:rPr/>
    </w:lvl>
    <w:lvl w:ilvl="1">
      <w:start w:val="1"/>
      <w:numFmt w:val="lowerLetter"/>
      <w:lvlText w:val="%2."/>
      <w:lvlJc w:val="left"/>
      <w:pPr>
        <w:ind w:left="1200" w:hanging="360"/>
      </w:pPr>
      <w:rPr/>
    </w:lvl>
    <w:lvl w:ilvl="2">
      <w:start w:val="1"/>
      <w:numFmt w:val="lowerRoman"/>
      <w:lvlText w:val="%3."/>
      <w:lvlJc w:val="right"/>
      <w:pPr>
        <w:ind w:left="1920" w:hanging="180"/>
      </w:pPr>
      <w:rPr/>
    </w:lvl>
    <w:lvl w:ilvl="3">
      <w:start w:val="1"/>
      <w:numFmt w:val="decimal"/>
      <w:lvlText w:val="%4."/>
      <w:lvlJc w:val="left"/>
      <w:pPr>
        <w:ind w:left="2640" w:hanging="360"/>
      </w:pPr>
      <w:rPr/>
    </w:lvl>
    <w:lvl w:ilvl="4">
      <w:start w:val="1"/>
      <w:numFmt w:val="lowerLetter"/>
      <w:lvlText w:val="%5."/>
      <w:lvlJc w:val="left"/>
      <w:pPr>
        <w:ind w:left="3360" w:hanging="360"/>
      </w:pPr>
      <w:rPr/>
    </w:lvl>
    <w:lvl w:ilvl="5">
      <w:start w:val="1"/>
      <w:numFmt w:val="lowerRoman"/>
      <w:lvlText w:val="%6."/>
      <w:lvlJc w:val="right"/>
      <w:pPr>
        <w:ind w:left="4080" w:hanging="180"/>
      </w:pPr>
      <w:rPr/>
    </w:lvl>
    <w:lvl w:ilvl="6">
      <w:start w:val="1"/>
      <w:numFmt w:val="decimal"/>
      <w:lvlText w:val="%7."/>
      <w:lvlJc w:val="left"/>
      <w:pPr>
        <w:ind w:left="4800" w:hanging="360"/>
      </w:pPr>
      <w:rPr/>
    </w:lvl>
    <w:lvl w:ilvl="7">
      <w:start w:val="1"/>
      <w:numFmt w:val="lowerLetter"/>
      <w:lvlText w:val="%8."/>
      <w:lvlJc w:val="left"/>
      <w:pPr>
        <w:ind w:left="5520" w:hanging="360"/>
      </w:pPr>
      <w:rPr/>
    </w:lvl>
    <w:lvl w:ilvl="8">
      <w:start w:val="1"/>
      <w:numFmt w:val="lowerRoman"/>
      <w:lvlText w:val="%9."/>
      <w:lvlJc w:val="right"/>
      <w:pPr>
        <w:ind w:left="6240" w:hanging="180"/>
      </w:pPr>
      <w:rPr/>
    </w:lvl>
  </w:abstractNum>
  <w:abstractNum w:abstractNumId="3">
    <w:lvl w:ilvl="0">
      <w:start w:val="1"/>
      <w:numFmt w:val="decimal"/>
      <w:lvlText w:val="%1."/>
      <w:lvlJc w:val="left"/>
      <w:pPr>
        <w:ind w:left="589" w:hanging="360"/>
      </w:pPr>
      <w:rPr/>
    </w:lvl>
    <w:lvl w:ilvl="1">
      <w:start w:val="1"/>
      <w:numFmt w:val="lowerLetter"/>
      <w:lvlText w:val="%2."/>
      <w:lvlJc w:val="left"/>
      <w:pPr>
        <w:ind w:left="1309" w:hanging="360"/>
      </w:pPr>
      <w:rPr/>
    </w:lvl>
    <w:lvl w:ilvl="2">
      <w:start w:val="1"/>
      <w:numFmt w:val="lowerRoman"/>
      <w:lvlText w:val="%3."/>
      <w:lvlJc w:val="right"/>
      <w:pPr>
        <w:ind w:left="2029" w:hanging="180"/>
      </w:pPr>
      <w:rPr/>
    </w:lvl>
    <w:lvl w:ilvl="3">
      <w:start w:val="1"/>
      <w:numFmt w:val="decimal"/>
      <w:lvlText w:val="%4."/>
      <w:lvlJc w:val="left"/>
      <w:pPr>
        <w:ind w:left="2749" w:hanging="360"/>
      </w:pPr>
      <w:rPr/>
    </w:lvl>
    <w:lvl w:ilvl="4">
      <w:start w:val="1"/>
      <w:numFmt w:val="lowerLetter"/>
      <w:lvlText w:val="%5."/>
      <w:lvlJc w:val="left"/>
      <w:pPr>
        <w:ind w:left="3469" w:hanging="360"/>
      </w:pPr>
      <w:rPr/>
    </w:lvl>
    <w:lvl w:ilvl="5">
      <w:start w:val="1"/>
      <w:numFmt w:val="lowerRoman"/>
      <w:lvlText w:val="%6."/>
      <w:lvlJc w:val="right"/>
      <w:pPr>
        <w:ind w:left="4189" w:hanging="180"/>
      </w:pPr>
      <w:rPr/>
    </w:lvl>
    <w:lvl w:ilvl="6">
      <w:start w:val="1"/>
      <w:numFmt w:val="decimal"/>
      <w:lvlText w:val="%7."/>
      <w:lvlJc w:val="left"/>
      <w:pPr>
        <w:ind w:left="4909" w:hanging="360"/>
      </w:pPr>
      <w:rPr/>
    </w:lvl>
    <w:lvl w:ilvl="7">
      <w:start w:val="1"/>
      <w:numFmt w:val="lowerLetter"/>
      <w:lvlText w:val="%8."/>
      <w:lvlJc w:val="left"/>
      <w:pPr>
        <w:ind w:left="5629" w:hanging="360"/>
      </w:pPr>
      <w:rPr/>
    </w:lvl>
    <w:lvl w:ilvl="8">
      <w:start w:val="1"/>
      <w:numFmt w:val="lowerRoman"/>
      <w:lvlText w:val="%9."/>
      <w:lvlJc w:val="right"/>
      <w:pPr>
        <w:ind w:left="6349"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Roman"/>
      <w:lvlText w:val="%1."/>
      <w:lvlJc w:val="righ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2">
    <w:lvl w:ilvl="0">
      <w:start w:val="1"/>
      <w:numFmt w:val="decimal"/>
      <w:lvlText w:val="%1."/>
      <w:lvlJc w:val="left"/>
      <w:pPr>
        <w:ind w:left="720" w:hanging="360"/>
      </w:pPr>
      <w:rPr/>
    </w:lvl>
    <w:lvl w:ilvl="1">
      <w:start w:val="1"/>
      <w:numFmt w:val="lowerLetter"/>
      <w:lvlText w:val="%2."/>
      <w:lvlJc w:val="left"/>
      <w:pPr>
        <w:ind w:left="1450" w:hanging="37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upp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360" w:hanging="360"/>
      </w:pPr>
      <w:rPr/>
    </w:lvl>
    <w:lvl w:ilvl="1">
      <w:start w:val="1"/>
      <w:numFmt w:val="decimal"/>
      <w:lvlText w:val="%1.%2."/>
      <w:lvlJc w:val="left"/>
      <w:pPr>
        <w:ind w:left="720" w:hanging="720"/>
      </w:pPr>
      <w:rPr/>
    </w:lvl>
    <w:lvl w:ilvl="2">
      <w:start w:val="1"/>
      <w:numFmt w:val="decimalZero"/>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440" w:hanging="144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2160" w:hanging="2160"/>
      </w:pPr>
      <w:rPr/>
    </w:lvl>
    <w:lvl w:ilvl="8">
      <w:start w:val="1"/>
      <w:numFmt w:val="decimal"/>
      <w:lvlText w:val="%1.%2.%3.%4.%5.%6.%7.%8.%9."/>
      <w:lvlJc w:val="left"/>
      <w:pPr>
        <w:ind w:left="2160" w:hanging="2160"/>
      </w:pPr>
      <w:rPr/>
    </w:lvl>
  </w:abstractNum>
  <w:abstractNum w:abstractNumId="15">
    <w:lvl w:ilvl="0">
      <w:start w:val="1"/>
      <w:numFmt w:val="decimal"/>
      <w:lvlText w:val="%1."/>
      <w:lvlJc w:val="left"/>
      <w:pPr>
        <w:ind w:left="894" w:hanging="360"/>
      </w:pPr>
      <w:rPr>
        <w:b w:val="0"/>
        <w:bCs w:val="0"/>
      </w:rPr>
    </w:lvl>
    <w:lvl w:ilvl="1">
      <w:start w:val="1"/>
      <w:numFmt w:val="decimal"/>
      <w:lvlText w:val="%1.%2."/>
      <w:lvlJc w:val="left"/>
      <w:pPr>
        <w:ind w:left="1254" w:hanging="720"/>
      </w:pPr>
      <w:rPr/>
    </w:lvl>
    <w:lvl w:ilvl="2">
      <w:start w:val="1"/>
      <w:numFmt w:val="upperLetter"/>
      <w:lvlText w:val="%1.%2.%3."/>
      <w:lvlJc w:val="left"/>
      <w:pPr>
        <w:ind w:left="1254" w:hanging="720"/>
      </w:pPr>
      <w:rPr/>
    </w:lvl>
    <w:lvl w:ilvl="3">
      <w:start w:val="1"/>
      <w:numFmt w:val="decimal"/>
      <w:lvlText w:val="%1.%2.%3.%4."/>
      <w:lvlJc w:val="left"/>
      <w:pPr>
        <w:ind w:left="1614" w:hanging="1080"/>
      </w:pPr>
      <w:rPr/>
    </w:lvl>
    <w:lvl w:ilvl="4">
      <w:start w:val="1"/>
      <w:numFmt w:val="decimal"/>
      <w:lvlText w:val="%1.%2.%3.%4.%5."/>
      <w:lvlJc w:val="left"/>
      <w:pPr>
        <w:ind w:left="1974" w:hanging="1440"/>
      </w:pPr>
      <w:rPr/>
    </w:lvl>
    <w:lvl w:ilvl="5">
      <w:start w:val="1"/>
      <w:numFmt w:val="decimal"/>
      <w:lvlText w:val="%1.%2.%3.%4.%5.%6."/>
      <w:lvlJc w:val="left"/>
      <w:pPr>
        <w:ind w:left="1974" w:hanging="1440"/>
      </w:pPr>
      <w:rPr/>
    </w:lvl>
    <w:lvl w:ilvl="6">
      <w:start w:val="1"/>
      <w:numFmt w:val="decimal"/>
      <w:lvlText w:val="%1.%2.%3.%4.%5.%6.%7."/>
      <w:lvlJc w:val="left"/>
      <w:pPr>
        <w:ind w:left="2334" w:hanging="1800"/>
      </w:pPr>
      <w:rPr/>
    </w:lvl>
    <w:lvl w:ilvl="7">
      <w:start w:val="1"/>
      <w:numFmt w:val="decimal"/>
      <w:lvlText w:val="%1.%2.%3.%4.%5.%6.%7.%8."/>
      <w:lvlJc w:val="left"/>
      <w:pPr>
        <w:ind w:left="2694" w:hanging="2160"/>
      </w:pPr>
      <w:rPr/>
    </w:lvl>
    <w:lvl w:ilvl="8">
      <w:start w:val="1"/>
      <w:numFmt w:val="decimal"/>
      <w:lvlText w:val="%1.%2.%3.%4.%5.%6.%7.%8.%9."/>
      <w:lvlJc w:val="left"/>
      <w:pPr>
        <w:ind w:left="2694"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id"/>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scSmlBdj1B572aNRyD+T7bxFjQ==">CgMxLjA4AHIhMVBUVmxMME85T2FNa1BkVF9leUU4djhiY0NCTHN2MXh6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y fmtid="{D5CDD505-2E9C-101B-9397-08002B2CF9AE}" pid="3" name="MediaServiceImageTags">
    <vt:lpwstr>MediaServiceImageTags</vt:lpwstr>
  </property>
</Properties>
</file>